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80"/>
      </w:pPr>
      <w:r>
        <w:rPr>
          <w:lang w:eastAsia="ko-KR"/>
          <w:rFonts w:ascii="맑은 고딕" w:eastAsia="맑은 고딕" w:hAnsi="맑은 고딕" w:cs="맑은 고딕"/>
          <w:b/>
          <w:bCs/>
          <w:color w:val="1B3A2F"/>
          <w:sz w:val="34"/>
          <w:szCs w:val="34"/>
          <w:rtl w:val="off"/>
        </w:rPr>
        <w:t xml:space="preserve">(석사) 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32"/>
          <w:szCs w:val="32"/>
        </w:rPr>
        <w:t>재정학 시험준비 안내서</w:t>
      </w:r>
    </w:p>
    <w:p>
      <w:pPr>
        <w:jc w:val="center"/>
        <w:spacing w:after="16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1"/>
          <w:szCs w:val="21"/>
        </w:rPr>
        <w:t>기본형 (하 60% · 중 30% · 상 10%)</w:t>
      </w:r>
    </w:p>
    <w:p>
      <w:pPr>
        <w:spacing w:after="9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이번 평가는 그동안의 논술형 대신 객관식으로 처음 치릅니다. 낯선 형식에 부담을 느끼지 않도록, 어떤 내용을 어떤 방식으로 묻는지 미리 자세히 알려 드립니다. 아래 안내대로 준비하면 충분히 대비할 수 있습니다.</w:t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1. 시험의 형식과 출제 방식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4지 선다 객관식 20문항입니다. 출제범위는 아래 일곱 개 분야이며, 분야 1)~6)에서 각 3문항, 분야 7)에서 2문항이 나옵니다.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 xml:space="preserve">난이도 구성: 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하 12문항(60%) · 중 6문항(30%) · 상 2문항(10%)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. 난이도 상은 두 문항뿐이며 그 주제도 이 안내서에서 미리 알려 드립니다.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기본 개념을 정확히 아는지 직접 확인하는 문제가 중심입니다. 정오 판별형은 모두 "옳지 않은 것 하나 고르기"입니다.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복잡한 계산 문제는 없습니다. 다만 그래프나 간단한 표에서 답을 바로 읽어 내는 문항은 있습니다. 헷갈리게 만드는 의도적인 함정은 없으므로, 개념을 정확히 이해했다면 바로 풀 수 있습니다.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맨큐의 경제학(8판)</w:t>
      </w:r>
      <w:r>
        <w:rPr>
          <w:lang w:eastAsia="ko-KR"/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  <w:rtl w:val="off"/>
        </w:rPr>
        <w:t xml:space="preserve"> 기준 출제범위(재정학 교재의 관련 부분):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제6장, 제8장, 제10장, 제11장,</w:t>
      </w:r>
      <w:r>
        <w:rPr>
          <w:lang w:eastAsia="ko-KR"/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  <w:rtl w:val="off"/>
        </w:rPr>
        <w:t xml:space="preserve"> 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제12장</w:t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2. 분야별 준비 내용</w:t>
      </w:r>
    </w:p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1  탄력성과 조세귀착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제6장)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조세귀착(tax incidence)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세금의 부담이 시장 참여자 사이에 실제로 어떻게 나뉘는지의 문제입니다.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가장 중요한 결론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법률상 납세의무자가 누구인지는 실질 부담과 무관합니다. 판매자에게 부과하든 구입자에게 부과하든 결과는 같습니다.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부담의 배분 원리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수요와 공급의 상대적 가격탄력성이 결정하며, 탄력성이 낮은(비탄력적인) 쪽이 더 많이 부담합니다. 세금을 피해 시장을 떠나기 어려운 쪽이 부담을 지는 것입니다.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그래프로 확인할 것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세금 부과 시 구입자 지불가격은 오르고 판매자 수취가격은 내린다는 것을 그래프에서 확인하세요.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극단적인 두 경우를 직접 그려 보세요. 수요곡선이 수직(완전비탄력적)이면 소비자가 전부 부담하고 거래량은 변하지 않습니다. 공급곡선이 수직(예: 공급이 고정된 토지)이면 공급자가 전부 부담합니다.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한 걸음 더 (난이도 중 대비)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조세 쐐기(tax wedge)의 분해: 구입자 가격 상승분(a)과 판매자 가격 하락분(b)을 합하면 반드시 단위당 세액(T)과 같습니다(a+b=T). 어느 쪽 변화가 더 큰지는 탄력성이 정합니다. 그래프에서 a, b, T를 표시하는 연습을 해 두세요.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조세귀착의 성질 중 "옳지 않은 것" 고르기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수요 또는 공급이 상대적으로(혹은 완전히) 비탄력적일 때 누가 얼마나 부담하는지 그래프로 판단하기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판매자에게 부과한 세금을 소비자가 부담하게 되는 과정을 말로 설명할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토지처럼 공급이 고정된 재화에 세금을 매기면 누가 부담하는가?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2  조세의 초과부담(사중손실)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제8장)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사중손실(deadweight loss)의 정의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조세로 인한 총잉여 감소분 가운데 조세수입으로 이전되지 않고 그냥 사라지는 부분입니다. 세수 자체는 정부로 이전될 뿐 사회적 손실이 아니라는 점을 분명히 해 두세요.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발생 원인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세금이 구입자 가격과 판매자 가격 사이에 쐐기를 만들어 거래량이 효율적인 수준보다 줄고, 상호이익이 되는 거래의 일부가 실현되지 못하기 때문입니다. 세수를 어디에 쓰는지와는 무관합니다.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탄력성과의 관계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수요·공급이 탄력적일수록 거래량이 크게 줄어 사중손실이 커지고, 비탄력적일수록 작아집니다.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그래프로 확인할 것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세금 부과 그래프에서 세수 사각형과 사중손실 삼각형을 구분해 표시할 수 있어야 합니다. 강의 슬라이드의 "세금 부과 효과" 그림을 손으로 재현해 보세요.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한 걸음 더 (난이도 중 대비)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민간이 잃는 잉여와 세수의 관계: 소비자잉여·생산자잉여 감소분의 합은 세수보다 크며, 그 차이가 바로 사중손실입니다. 그래프에서 사각형+삼각형(민간 손실)과 사각형(세수)을 비교하면 바로 보입니다.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난이도 상 예고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사중손실은 대체로 세율의 제곱에 비례하여 커집니다. 세율을 두 배로 올리면 사중손실은 약 네 배가 됩니다. 계산이 아니라 이 성질이 갖는 의미(높은 세율일수록 효율 손실이 세수보다 빠르게 증가)를 이해하는 것이 목표입니다.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사중손실의 정의·발생 원인에 관한 정오 판별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탄력성 조건에 따라 사중손실이 커지는(작아지는) 시장 고르기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"세수는 손실이 아니다"라는 말의 의미를 설명할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같은 세금인데 시장에 따라 사중손실이 다른 이유는 무엇인가?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3  외부효과와 피구세(교정과세)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제10장)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시장균형의 방향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부정적 외부효과(공해 등)가 있으면 사회적 최적보다 과잉 생산되고, 긍정적 외부효과(예방접종, 교육)가 있으면 과소 생산됩니다. 전자는 교정과세, 후자는 보조금이 처방입니다.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피구세(Pigouvian tax)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외부비용을 가격에 반영시키기 위한 세금으로, 최적 산출량 수준에서의 한계외부비용과 같은 크기로 부과하는 것이 바람직합니다. 탄소세, 담배에 대한 과세가 대표적인 예입니다.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일반 물품세와의 결정적 차이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보통의 세금은 자원배분을 왜곡하지만, 피구세는 이미 존재하는 왜곡(외부효과)을 바로잡아 효율성을 높입니다.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직접규제와의 비교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배출량을 일률적으로 제한하는 규제와 달리, 피구세는 감축비용이 낮은 주체가 더 많이 감축하도록 유도하여 같은 감축을 더 낮은 비용으로 달성합니다.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그래프로 확인할 것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사적 한계비용과 사회적 한계비용 곡선을 나누어 그리고, 시장균형 산출량과 사회적 최적 산출량의 차이를 표시해 보세요.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한 걸음 더 (난이도 중 대비)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최적 피구세를 부과하면 어떤 일이 일어나는지 결과까지 이어서 이해하세요. 산출량이 사회적 최적 수준으로 이동하고, 외부비용이 가격에 반영됩니다.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최적 오염 수준은 0이 아닙니다. 감축에도 비용이 들기 때문에, 교정과세의 목표는 오염의 완전한 제거가 아니라 사회적 최적 수준의 달성입니다.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외부효과가 있을 때 시장균형의 방향(과잉/과소) 판단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피구세의 성격·크기·효과에 관한 정오 판별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피구세와 일반 물품세의 차이를 한 문장으로 말할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"세금을 매겼는데 왜 오염이 남아 있는가"라는 질문에 답할 수 있는가?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4  조세설계: 세원은 넓게, 세율은 낮게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제8장·제12장)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원칙의 논리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낮은 세율은 경제적 왜곡(초과부담)을 줄이고, 넓은 세원은 낮은 세율로도 필요한 세수를 확보하게 합니다. 두 요소가 함께 가야 성립하는 원칙입니다.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부합하는 조치와 어긋나는 조치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비과세·감면 정비, 과세 사각지대 해소는 세원을 넓히는 조치입니다. 반대로 특정 집단에 대한 감면 확대, 소수 품목에 대한 고율 과세 집중은 원칙에 어긋납니다.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난이도 상 예고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제2분야의 "사중손실은 세율의 제곱에 비례" 성질과 연결하세요. 세율을 두 배로 올리면 초과부담이 약 네 배가 되므로, 같은 세수라면 높은 세율의 좁은 세원보다 낮은 세율의 넓은 세원이 효율적이라는 결론이 나옵니다. 이 연결고리가 난이도 상 문항의 핵심입니다.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원칙의 근거 고르기, 원칙에 부합하지 않는 조치 고르기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세율과 초과부담의 관계로부터 시사점 도출하기(난이도 상)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"같은 세수를 걷는다면 어떤 조합이 왜 바람직한가"를 초과부담 개념으로 설명할 수 있는가?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5  과세원칙: 편익 vs 능력, 수평적 vs 수직적 형평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제12장)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편익원칙(benefit principle)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정부 서비스로부터 받는 편익에 비례해 부담해야 한다는 원칙. 도로 재원으로 쓰이는 유류세가 대표 사례입니다.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능력원칙(ability-to-pay principle)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담세능력에 따라 부담해야 한다는 원칙. 누진적인 소득세가 대표 사례입니다.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수평적 형평성(horizontal equity)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담세능력이 같은 사람은 같은 세금을 내야 한다는 것.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수직적 형평성(vertical equity)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담세능력이 큰 사람이 더 많은 세금을 내야 한다는 것.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조합해 보기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누진 소득세를 정당화하는 것은 능력원칙과 수직적 형평성의 결합입니다. 유류세를 정당화하는 것은 편익원칙입니다.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네 개념의 정의를 서로 바꿔 놓은 선지 중에서 정확한 것(또는 틀린 것) 고르기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구체적인 세금(유류세, 누진소득세)을 정당화하는 원칙 연결하기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네 용어의 정의를 영문 명칭과 함께 각각 한 문장으로 말할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"같은 것을 같게, 다른 것을 다르게"가 각각 어느 형평성에 대응하는가?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6  공공재의 특성과 무임승차 문제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제11장)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두 가지 특성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비경합성(non-rivalry)은 한 사람의 소비가 다른 사람이 소비할 수 있는 양을 줄이지 않는다는 것, 비배제성(non-excludability)은 대가를 지불하지 않은 사람의 소비를 막을 수 없다는 것입니다. 국방, 가로등이 대표 예입니다.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무임승차(free rider) 문제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비배제성 때문에 대가 없이 소비하려는 유인이 생기고, 그 결과 시장에 맡기면 공공재는 과소 공급됩니다. 이것이 정부가 조세로 재원을 마련해 공공재를 공급하는 근거입니다.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재화의 네 가지 분류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경합성·배제성 유무에 따라 사적재, 클럽재(배제 가능·비경합, 예: 유료 방송), 공유자원(경합·배제 불가, 예: 어족자원, 혼잡한 무료 도로), 공공재로 나뉩니다. 2×2 표를 직접 만들어 예시를 채워 보세요.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공공재의 특성·무임승차에 관한 정오 판별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구체적인 재화(혼잡한 무료 도로, 어족자원, 국방, 유료 방송)를 네 유형에 분류하기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혼잡한 무료 도로가 순수공공재가 아닌 이유를 두 특성 개념으로 설명할 수 있는가?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7  공공재의 최적 수준과 비용·편익분석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제11장)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비용·편익분석(cost-benefit analysis)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총편익이 총비용보다 크면 공공사업 시행의 근거가 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측정의 어려움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공공재에는 시장가격이 없어 편익을 화폐로 측정하기 어렵고, 설문으로 조사한 지불의사는 실제 행동과 다를 수 있으며, 생명·시간의 가치처럼 환산이 어려운 항목이 있습니다. "편익은 시장가격으로 쉽게 정확히 측정된다"는 식의 진술이 왜 틀렸는지 알아야 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난이도 상 예고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공공재의 최적 공급 조건(난이도 상): 공공재는 모든 사람이 같은 양을 함께 소비하므로, 개인의 한계편익을 수직으로 합해 사회적 한계편익을 구하고 이것이 한계비용과 같아지는 수준이 최적입니다. 사적재의 수평 합과 대비해 기억하세요. 두 사람의 수량별 한계편익과 한계비용이 표로 주어지면, 각 수량에서 두 사람의 한계편익을 더해 한계비용과 비교하는 연습을 반드시 해 두세요. 복잡한 계산은 없고 덧셈과 비교만 필요합니다.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비용·편익분석의 성격과 한계에 관한 정오 판별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한계편익 표에서 최적 공급 수준 찾기(난이도 상)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공공재 수요를 수직으로 합하는 이유를 사적재와 대비해 설명할 수 있는가?</w:t>
            </w:r>
          </w:p>
        </w:tc>
      </w:tr>
    </w:tbl>
    <w:p>
      <w:r>
        <w:br w:type="page"/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3. 자주 하는 오해 — 이것만은 바로잡고 시험장에 갑시다</w:t>
      </w:r>
    </w:p>
    <w:p>
      <w:pPr>
        <w:spacing w:after="9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19"/>
          <w:szCs w:val="19"/>
        </w:rPr>
        <w:t>객관식의 오답 선지는 수험생이 흔히 하는 오해를 담아 만듭니다. 아래 여섯 가지를 스스로 점검해 보세요.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"판매자에게 부과한 세금은 판매자가 낸다" — 법률상 부과 대상과 실질 부담은 별개입니다.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"세수도 사회적 손실이다" — 세수는 정부로 이전되는 부분이고, 사라지는 것은 사중손실뿐입니다.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"피구세도 다른 세금처럼 효율을 해친다" — 피구세는 기존의 왜곡을 교정하여 효율을 높입니다.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"최적 오염 수준은 0이다" — 감축에도 비용이 들므로 최적 수준은 일반적으로 0이 아닙니다.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"공공재 수요도 사적재처럼 수평으로 합한다" — 공공재는 수직으로 합합니다.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"무임승차가 있어도 시장이 알아서 공급한다" — 무임승차는 과소공급의 원인이며 정부 공급의 근거입니다.</w:t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4. 공부 요령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각 용어의 정의를 영문 명칭과 함께 자기 말로 한 문장씩 써 보세요. 문제의 절반 이상은 정의를 정확히 아는지 묻습니다.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세금 부과 그래프를 백지에 직접 그려 구입자 가격, 판매자 가격, 조세 쐐기, 세수 사각형, 사중손실 삼각형을 표시해 보세요.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개념마다 대표 사례를 하나씩 연결해 두세요(유류세–편익원칙, 누진소득세–능력원칙, 탄소세–피구세, 토지–공급 비탄력, 국방–공공재, 어족자원–공유자원).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"옳지 않은 것 고르기"에 대비해, 각 진술을 보고 왜 맞는지 또는 왜 틀렸는지 이유를 말로 설명하는 연습을 하세요. 의도적인 함정은 없으므로 개념을 정확히 알면 바로 풀립니다.</w:t>
      </w:r>
    </w:p>
    <w:p>
      <w:pPr>
        <w:spacing w:before="24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E5E4E"/>
          <w:sz w:val="19"/>
          <w:szCs w:val="19"/>
        </w:rPr>
        <w:t xml:space="preserve">처음 보는 객관식이지만, 이 안내서의 내용을 차분히 준비한 </w:t>
      </w:r>
      <w:r>
        <w:rPr>
          <w:lang w:eastAsia="ko-KR"/>
          <w:rFonts w:ascii="맑은 고딕" w:eastAsia="맑은 고딕" w:hAnsi="맑은 고딕" w:cs="맑은 고딕"/>
          <w:b w:val="0"/>
          <w:bCs w:val="0"/>
          <w:i w:val="0"/>
          <w:iCs w:val="0"/>
          <w:color w:val="2E5E4E"/>
          <w:sz w:val="19"/>
          <w:szCs w:val="19"/>
          <w:rtl w:val="off"/>
        </w:rPr>
        <w:t>분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E5E4E"/>
          <w:sz w:val="19"/>
          <w:szCs w:val="19"/>
        </w:rPr>
        <w:t>이라면 좋은 결과를 얻을 수 있도록 출제했습니다.</w:t>
      </w:r>
    </w:p>
    <w:sectPr>
      <w:pgSz w:w="11906" w:h="16838"/>
      <w:pgMar w:top="1000" w:right="1100" w:bottom="1000" w:left="1100" w:header="708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fffde20"/>
    <w:multiLevelType w:val="hybridMultilevel"/>
    <w:lvl w:ilvl="0" w:tentative="on">
      <w:start w:val="1"/>
      <w:numFmt w:val="bullet"/>
      <w:lvlText w:val="·"/>
      <w:lvlJc w:val="left"/>
      <w:pPr>
        <w:ind w:left="340" w:hanging="200"/>
      </w:pPr>
      <w:rPr>
        <w:rFonts w:ascii="맑은 고딕" w:eastAsia="맑은 고딕" w:hAnsi="맑은 고딕" w:cs="맑은 고딕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displayBackgroundShape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sz w:val="20"/>
        <w:szCs w:val="20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styleId="Title">
    <w:name w:val="Title"/>
    <w:next w:val="Title"/>
    <w:qFormat/>
    <w:rPr>
      <w:sz w:val="56"/>
      <w:szCs w:val="56"/>
    </w:rPr>
  </w:style>
  <w:style w:type="paragraph" w:customStyle="1" w:styleId="Heading1">
    <w:name w:val="Heading 1"/>
    <w:next w:val="Title"/>
    <w:qFormat/>
    <w:rPr>
      <w:color w:val="2E74B5"/>
      <w:sz w:val="32"/>
      <w:szCs w:val="32"/>
    </w:rPr>
  </w:style>
  <w:style w:type="paragraph" w:customStyle="1" w:styleId="Heading2">
    <w:name w:val="Heading 2"/>
    <w:next w:val="Title"/>
    <w:qFormat/>
    <w:rPr>
      <w:color w:val="2E74B5"/>
      <w:sz w:val="26"/>
      <w:szCs w:val="26"/>
    </w:rPr>
  </w:style>
  <w:style w:type="paragraph" w:customStyle="1" w:styleId="Heading3">
    <w:name w:val="Heading 3"/>
    <w:next w:val="Title"/>
    <w:qFormat/>
    <w:rPr>
      <w:color w:val="1F4D78"/>
      <w:sz w:val="24"/>
      <w:szCs w:val="24"/>
    </w:rPr>
  </w:style>
  <w:style w:type="paragraph" w:customStyle="1" w:styleId="Heading4">
    <w:name w:val="Heading 4"/>
    <w:next w:val="Title"/>
    <w:qFormat/>
    <w:rPr>
      <w:i/>
      <w:iCs/>
      <w:color w:val="2E74B5"/>
    </w:rPr>
  </w:style>
  <w:style w:type="paragraph" w:customStyle="1" w:styleId="Heading5">
    <w:name w:val="Heading 5"/>
    <w:next w:val="Title"/>
    <w:qFormat/>
    <w:rPr>
      <w:color w:val="2E74B5"/>
    </w:rPr>
  </w:style>
  <w:style w:type="paragraph" w:customStyle="1" w:styleId="Heading6">
    <w:name w:val="Heading 6"/>
    <w:next w:val="Title"/>
    <w:qFormat/>
    <w:rPr>
      <w:color w:val="1F4D78"/>
    </w:rPr>
  </w:style>
  <w:style w:type="paragraph" w:styleId="Strong">
    <w:name w:val="Strong"/>
    <w:next w:val="Title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auto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uiPriority w:val="99"/>
    <w:link w:val="Foot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uiPriority w:val="99"/>
    <w:link w:val="FootnoteText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uiPriority w:val="99"/>
    <w:link w:val="End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uiPriority w:val="99"/>
    <w:link w:val="EndnoteText"/>
    <w:semiHidden/>
    <w:unhideWhenUsed/>
    <w:rPr>
      <w:sz w:val="20"/>
      <w:szCs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W Kim</cp:lastModifiedBy>
  <cp:revision>1</cp:revision>
  <dcterms:created xsi:type="dcterms:W3CDTF">2026-09-10T09:01:08Z</dcterms:created>
  <dcterms:modified xsi:type="dcterms:W3CDTF">2026-09-14T06:10:42Z</dcterms:modified>
  <cp:version>1300.0100.01</cp:version>
</cp:coreProperties>
</file>