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70"/>
      </w:pPr>
      <w:r>
        <w:rPr>
          <w:lang w:eastAsia="ko-KR"/>
          <w:rFonts w:ascii="맑은 고딕" w:eastAsia="맑은 고딕" w:hAnsi="맑은 고딕" w:cs="맑은 고딕"/>
          <w:b/>
          <w:bCs/>
          <w:i w:val="0"/>
          <w:iCs w:val="0"/>
          <w:color w:val="1B3A2F"/>
          <w:sz w:val="32"/>
          <w:szCs w:val="32"/>
          <w:rtl w:val="off"/>
        </w:rPr>
        <w:t xml:space="preserve">(박사) 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32"/>
          <w:szCs w:val="32"/>
        </w:rPr>
        <w:t>재정학 시험</w:t>
      </w:r>
      <w:r>
        <w:rPr>
          <w:lang w:eastAsia="ko-KR"/>
          <w:rFonts w:ascii="맑은 고딕" w:eastAsia="맑은 고딕" w:hAnsi="맑은 고딕" w:cs="맑은 고딕"/>
          <w:b/>
          <w:bCs/>
          <w:i w:val="0"/>
          <w:iCs w:val="0"/>
          <w:color w:val="1B3A2F"/>
          <w:sz w:val="32"/>
          <w:szCs w:val="32"/>
          <w:rtl w:val="off"/>
        </w:rPr>
        <w:t xml:space="preserve"> 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32"/>
          <w:szCs w:val="32"/>
        </w:rPr>
        <w:t>준비 안내서</w:t>
      </w:r>
    </w:p>
    <w:p>
      <w:pPr>
        <w:jc w:val="center"/>
        <w:spacing w:after="16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1"/>
          <w:szCs w:val="21"/>
        </w:rPr>
        <w:t>난이도 상향형 (하 45% · 중 45% · 상 10%)</w:t>
      </w:r>
    </w:p>
    <w:p>
      <w:pPr>
        <w:spacing w:after="9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이번 평가는 그동안의 논술형 대신 객관식으로 처음 치릅니다. 낯선 형식에 부담을 느끼지 않도록, 어떤 내용을 어떤 방식으로 묻는지 미리 자세히 알려 드립니다. 아래 안내대로 준비하면 충분히 대비할 수 있습니다.</w:t>
      </w:r>
    </w:p>
    <w:p>
      <w:pPr>
        <w:pBdr>
          <w:bottom w:val="single" w:sz="6" w:space="0" w:color="C9A227"/>
        </w:pBdr>
        <w:spacing w:after="120" w:before="3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6"/>
          <w:szCs w:val="26"/>
        </w:rPr>
        <w:t>1. 시험의 형식과 출제 방식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4지 선다 객관식 20문항입니다. 출제범위는 아래 일곱 개 분야이며, 분야 1)~6)에서 각 3문항, 분야 7)에서 2문항이 나옵니다.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 xml:space="preserve">난이도 구성: 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하 9문항(45%) · 중 9문항(45%) · 상 2문항(10%)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. 난이도 상은 두 문항뿐이며 그 주제도 이 안내서에서 미리 알려 드립니다.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기본 개념을 정확히 아는지 직접 확인하는 문제가 중심입니다. 정오 판별형은 모두 "옳지 않은 것 하나 고르기"입니다.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복잡한 계산 문제는 없습니다. 다만 그래프나 간단한 표에서 답을 바로 읽어 내는 문항은 있습니다. 헷갈리게 만드는 의도적인 함정은 없으므로, 개념을 정확히 이해했다면 바로 풀 수 있습니다.</w:t>
      </w:r>
    </w:p>
    <w:p>
      <w:pPr>
        <w:pStyle w:val="ListParagraph"/>
        <w:numPr>
          <w:ilvl w:val="0"/>
          <w:numId w:val="1"/>
        </w:numPr>
        <w:spacing w:after="50"/>
        <w:rPr>
          <w:lang/>
          <w:rtl w:val="off"/>
        </w:rPr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 xml:space="preserve">정의 암기에서 한 걸음 나아가 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B8402E"/>
          <w:sz w:val="20"/>
          <w:szCs w:val="20"/>
        </w:rPr>
        <w:t>그래프에서 결과를 읽어 내는 연습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 xml:space="preserve">이 중요합니다. 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맨큐의 경제학(8판)</w:t>
      </w:r>
      <w:r>
        <w:rPr>
          <w:lang w:eastAsia="ko-KR"/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  <w:rtl w:val="off"/>
        </w:rPr>
        <w:t xml:space="preserve">기준 출제범위(재정학 교재의 관련 부분): 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제6장, 제8장, 제10장, 제11장, 제12장.</w:t>
      </w:r>
    </w:p>
    <w:p>
      <w:pPr>
        <w:pBdr>
          <w:bottom w:val="single" w:sz="6" w:space="0" w:color="C9A227"/>
        </w:pBdr>
        <w:spacing w:after="120" w:before="3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6"/>
          <w:szCs w:val="26"/>
        </w:rPr>
        <w:t>2. 분야별 준비 내용</w:t>
      </w:r>
    </w:p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1  탄력성과 조세귀착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제6장)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조세귀착(tax incidence)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세금의 부담이 시장 참여자 사이에 실제로 어떻게 나뉘는지의 문제입니다.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가장 중요한 결론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법률상 납세의무자가 누구인지는 실질 부담과 무관합니다. 판매자에게 부과하든 구입자에게 부과하든 결과는 같습니다.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부담의 배분 원리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수요와 공급의 상대적 가격탄력성이 결정하며, 탄력성이 낮은(비탄력적인) 쪽이 더 많이 부담합니다. 세금을 피해 시장을 떠나기 어려운 쪽이 부담을 지는 것입니다.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그래프로 확인할 것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세금 부과 시 구입자 지불가격은 오르고 판매자 수취가격은 내린다는 것을 그래프에서 확인하세요.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극단적인 두 경우를 직접 그려 보세요. 수요곡선이 수직(완전비탄력적)이면 소비자가 전부 부담하고 거래량은 변하지 않습니다. 공급곡선이 수직(예: 공급이 고정된 토지)이면 공급자가 전부 부담합니다.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한 걸음 더 (이번 시험에서 비중이 커진 부분)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000000"/>
          <w:sz w:val="20"/>
          <w:szCs w:val="20"/>
        </w:rPr>
        <w:t>조세 쐐기(tax wedge)의 분해: 구입자 가격 상승분(a)과 판매자 가격 하락분(b)을 합하면 반드시 단위당 세액(T)과 같습니다(a+b=T). 어느 쪽 변화가 더 큰지는 탄력성이 정합니다. 그래프에서 a, b, T를 표시하는 연습을 해 두세요.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조세귀착의 성질 중 "옳지 않은 것" 고르기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수요 또는 공급이 상대적으로(혹은 완전히) 비탄력적일 때 누가 얼마나 부담하는지 그래프로 판단하기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판매자에게 부과한 세금을 소비자가 부담하게 되는 과정을 말로 설명할 수 있는가?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토지처럼 공급이 고정된 재화에 세금을 매기면 누가 부담하는가?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2  조세의 초과부담(사중손실)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제8장)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사중손실(deadweight loss)의 정의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조세로 인한 총잉여 감소분 가운데 조세수입으로 이전되지 않고 그냥 사라지는 부분입니다. 세수 자체는 정부로 이전될 뿐 사회적 손실이 아니라는 점을 분명히 해 두세요.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발생 원인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세금이 구입자 가격과 판매자 가격 사이에 쐐기를 만들어 거래량이 효율적인 수준보다 줄고, 상호이익이 되는 거래의 일부가 실현되지 못하기 때문입니다. 세수를 어디에 쓰는지와는 무관합니다.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탄력성과의 관계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수요·공급이 탄력적일수록 거래량이 크게 줄어 사중손실이 커지고, 비탄력적일수록 작아집니다.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그래프로 확인할 것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세금 부과 그래프에서 세수 사각형과 사중손실 삼각형을 구분해 표시할 수 있어야 합니다. 강의 슬라이드의 "세금 부과 효과" 그림을 손으로 재현해 보세요.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한 걸음 더 (이번 시험에서 비중이 커진 부분)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000000"/>
          <w:sz w:val="20"/>
          <w:szCs w:val="20"/>
        </w:rPr>
        <w:t>민간이 잃는 잉여와 세수의 관계: 소비자잉여·생산자잉여 감소분의 합은 세수보다 크며, 그 차이가 바로 사중손실입니다. 그래프에서 사각형+삼각형(민간 손실)과 사각형(세수)을 비교하면 바로 보입니다.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난이도 상 예고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사중손실은 대체로 세율의 제곱에 비례하여 커집니다. 세율을 두 배로 올리면 사중손실은 약 네 배가 됩니다. 계산이 아니라 이 성질이 갖는 의미(높은 세율일수록 효율 손실이 세수보다 빠르게 증가)를 이해하는 것이 목표입니다.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사중손실의 정의·발생 원인에 관한 정오 판별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탄력성 조건에 따라 사중손실이 커지는(작아지는) 시장 고르기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"세수는 손실이 아니다"라는 말의 의미를 설명할 수 있는가?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같은 세금인데 시장에 따라 사중손실이 다른 이유는 무엇인가?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3  외부효과와 피구세(교정과세)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제10장)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시장균형의 방향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부정적 외부효과(공해 등)가 있으면 사회적 최적보다 과잉 생산되고, 긍정적 외부효과(예방접종, 교육)가 있으면 과소 생산됩니다. 전자는 교정과세, 후자는 보조금이 처방입니다.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피구세(Pigouvian tax)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외부비용을 가격에 반영시키기 위한 세금으로, 최적 산출량 수준에서의 한계외부비용과 같은 크기로 부과하는 것이 바람직합니다. 탄소세, 담배에 대한 과세가 대표적인 예입니다.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일반 물품세와의 결정적 차이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보통의 세금은 자원배분을 왜곡하지만, 피구세는 이미 존재하는 왜곡(외부효과)을 바로잡아 효율성을 높입니다.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직접규제와의 비교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배출량을 일률적으로 제한하는 규제와 달리, 피구세는 감축비용이 낮은 주체가 더 많이 감축하도록 유도하여 같은 감축을 더 낮은 비용으로 달성합니다.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그래프로 확인할 것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사적 한계비용과 사회적 한계비용 곡선을 나누어 그리고, 시장균형 산출량과 사회적 최적 산출량의 차이를 표시해 보세요.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한 걸음 더 (이번 시험에서 비중이 커진 부분)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000000"/>
          <w:sz w:val="20"/>
          <w:szCs w:val="20"/>
        </w:rPr>
        <w:t>최적 피구세를 부과하면 어떤 일이 일어나는지 결과까지 이어서 이해하세요. 산출량이 사회적 최적 수준으로 이동하고, 외부비용이 가격에 반영됩니다.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000000"/>
          <w:sz w:val="20"/>
          <w:szCs w:val="20"/>
        </w:rPr>
        <w:t>최적 오염 수준은 0이 아닙니다. 감축에도 비용이 들기 때문에, 교정과세의 목표는 오염의 완전한 제거가 아니라 사회적 최적 수준의 달성입니다.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외부효과가 있을 때 시장균형의 방향(과잉/과소) 판단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피구세의 성격·크기·효과에 관한 정오 판별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피구세와 일반 물품세의 차이를 한 문장으로 말할 수 있는가?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"세금을 매겼는데 왜 오염이 남아 있는가"라는 질문에 답할 수 있는가?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4  조세설계: 세원은 넓게, 세율은 낮게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제8장·제12장)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원칙의 논리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낮은 세율은 경제적 왜곡(초과부담)을 줄이고, 넓은 세원은 낮은 세율로도 필요한 세수를 확보하게 합니다. 두 요소가 함께 가야 성립하는 원칙입니다.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부합하는 조치와 어긋나는 조치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비과세·감면 정비, 과세 사각지대 해소는 세원을 넓히는 조치입니다. 반대로 특정 집단에 대한 감면 확대, 소수 품목에 대한 고율 과세 집중은 원칙에 어긋납니다.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난이도 상 예고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제2분야의 "사중손실은 세율의 제곱에 비례" 성질과 연결하세요. 세율을 두 배로 올리면 초과부담이 약 네 배가 되므로, 같은 세수라면 높은 세율의 좁은 세원보다 낮은 세율의 넓은 세원이 효율적이라는 결론이 나옵니다. 이 연결고리가 난이도 상 문항의 핵심입니다.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원칙의 근거 고르기, 원칙에 부합하지 않는 조치 고르기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세율과 초과부담의 관계로부터 시사점 도출하기(난이도 상)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"같은 세수를 걷는다면 어떤 조합이 왜 바람직한가"를 초과부담 개념으로 설명할 수 있는가?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5  과세원칙: 편익 vs 능력, 수평적 vs 수직적 형평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제12장)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편익원칙(benefit principle)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정부 서비스로부터 받는 편익에 비례해 부담해야 한다는 원칙. 도로 재원으로 쓰이는 유류세가 대표 사례입니다.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능력원칙(ability-to-pay principle)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담세능력에 따라 부담해야 한다는 원칙. 누진적인 소득세가 대표 사례입니다.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수평적 형평성(horizontal equity)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담세능력이 같은 사람은 같은 세금을 내야 한다는 것.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수직적 형평성(vertical equity)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담세능력이 큰 사람이 더 많은 세금을 내야 한다는 것.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조합해 보기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누진 소득세를 정당화하는 것은 능력원칙과 수직적 형평성의 결합입니다. 유류세를 정당화하는 것은 편익원칙입니다.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네 개념의 정의를 서로 바꿔 놓은 선지 중에서 정확한 것(또는 틀린 것) 고르기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구체적인 세금(유류세, 누진소득세)을 정당화하는 원칙 연결하기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네 용어의 정의를 영문 명칭과 함께 각각 한 문장으로 말할 수 있는가?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"같은 것을 같게, 다른 것을 다르게"가 각각 어느 형평성에 대응하는가?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6  공공재의 특성과 무임승차 문제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제11장)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두 가지 특성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비경합성(non-rivalry)은 한 사람의 소비가 다른 사람이 소비할 수 있는 양을 줄이지 않는다는 것, 비배제성(non-excludability)은 대가를 지불하지 않은 사람의 소비를 막을 수 없다는 것입니다. 국방, 가로등이 대표 예입니다.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무임승차(free rider) 문제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비배제성 때문에 대가 없이 소비하려는 유인이 생기고, 그 결과 시장에 맡기면 공공재는 과소 공급됩니다. 이것이 정부가 조세로 재원을 마련해 공공재를 공급하는 근거입니다.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재화의 네 가지 분류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경합성·배제성 유무에 따라 사적재, 클럽재(배제 가능·비경합, 예: 유료 방송), 공유자원(경합·배제 불가, 예: 어족자원, 혼잡한 무료 도로), 공공재로 나뉩니다. 2×2 표를 직접 만들어 예시를 채워 보세요.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공공재의 특성·무임승차에 관한 정오 판별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구체적인 재화(혼잡한 무료 도로, 어족자원, 국방, 유료 방송)를 네 유형에 분류하기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혼잡한 무료 도로가 순수공공재가 아닌 이유를 두 특성 개념으로 설명할 수 있는가?</w:t>
            </w:r>
          </w:p>
        </w:tc>
      </w:tr>
    </w:tbl>
    <w:p>
      <w:pPr>
        <w:spacing w:after="80" w:before="2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2"/>
          <w:szCs w:val="22"/>
        </w:rPr>
        <w:t>분야 7  공공재의 최적 수준과 비용·편익분석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555555"/>
          <w:sz w:val="17"/>
          <w:szCs w:val="17"/>
        </w:rPr>
        <w:t xml:space="preserve">   (맨큐 제11장)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꼭 알아야 할 개념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비용·편익분석(cost-benefit analysis)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총편익이 총비용보다 크면 공공사업 시행의 근거가 됩니다.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222222"/>
          <w:sz w:val="20"/>
          <w:szCs w:val="20"/>
        </w:rPr>
        <w:t>측정의 어려움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: 공공재에는 시장가격이 없어 편익을 화폐로 측정하기 어렵고, 설문으로 조사한 지불의사는 실제 행동과 다를 수 있으며, 생명·시간의 가치처럼 환산이 어려운 항목이 있습니다. "편익은 시장가격으로 쉽게 정확히 측정된다"는 식의 진술이 왜 틀렸는지 알아야 합니다.</w:t>
      </w:r>
    </w:p>
    <w:p>
      <w:pPr>
        <w:spacing w:after="70" w:before="14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C9A227"/>
          <w:sz w:val="20"/>
          <w:szCs w:val="20"/>
        </w:rPr>
        <w:t>▎</w:t>
      </w:r>
      <w:r>
        <w:rPr>
          <w:rFonts w:ascii="맑은 고딕" w:eastAsia="맑은 고딕" w:hAnsi="맑은 고딕" w:cs="맑은 고딕"/>
          <w:b/>
          <w:bCs/>
          <w:i w:val="0"/>
          <w:iCs w:val="0"/>
          <w:color w:val="2E5E4E"/>
          <w:sz w:val="20"/>
          <w:szCs w:val="20"/>
        </w:rPr>
        <w:t xml:space="preserve"> 난이도 상 예고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공공재의 최적 공급 조건(난이도 상): 공공재는 모든 사람이 같은 양을 함께 소비하므로, 개인의 한계편익을 수직으로 합해 사회적 한계편익을 구하고 이것이 한계비용과 같아지는 수준이 최적입니다. 사적재의 수평 합과 대비해 기억하세요. 두 사람의 수량별 한계편익과 한계비용이 표로 주어지면, 각 수량에서 두 사람의 한계편익을 더해 한계비용과 비교하는 연습을 반드시 해 두세요. 복잡한 계산은 없고 덧셈과 비교만 필요합니다.</w:t>
      </w: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F6EED2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이런 형태로 출제됩니다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비용·편익분석의 성격과 한계에 관한 정오 판별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한계편익 표에서 최적 공급 수준 찾기(난이도 상)</w:t>
            </w:r>
          </w:p>
        </w:tc>
      </w:tr>
    </w:tbl>
    <w:p>
      <w:pPr>
        <w:spacing w:after="60"/>
      </w:pPr>
    </w:p>
    <w:tbl>
      <w:tblPr>
        <w:tblW w:w="9200" w:type="dxa"/>
        <w:tblBorders>
          <w:top w:val="single" w:sz="4" w:space="0" w:color="C9A227"/>
          <w:left w:val="single" w:sz="4" w:space="0" w:color="C9A227"/>
          <w:bottom w:val="single" w:sz="4" w:space="0" w:color="C9A227"/>
          <w:right w:val="single" w:sz="4" w:space="0" w:color="C9A227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0"/>
      </w:tblGrid>
      <w:tr>
        <w:tc>
          <w:tcPr>
            <w:tcW w:w="9200" w:type="dxa"/>
            <w:shd w:val="clear" w:color="auto" w:fill="DCE8E0"/>
            <w:tcMar>
              <w:top w:w="90" w:type="dxa"/>
              <w:left w:w="140" w:type="dxa"/>
              <w:bottom w:w="90" w:type="dxa"/>
              <w:right w:w="140" w:type="dxa"/>
            </w:tcMar>
          </w:tcPr>
          <w:p>
            <w:pPr>
              <w:spacing w:after="50"/>
            </w:pPr>
            <w:r>
              <w:rPr>
                <w:rFonts w:ascii="맑은 고딕" w:eastAsia="맑은 고딕" w:hAnsi="맑은 고딕" w:cs="맑은 고딕"/>
                <w:b/>
                <w:bCs/>
                <w:i w:val="0"/>
                <w:iCs w:val="0"/>
                <w:color w:val="1B3A2F"/>
                <w:sz w:val="19"/>
                <w:szCs w:val="19"/>
              </w:rPr>
              <w:t>스스로 점검해 보세요</w:t>
            </w:r>
          </w:p>
          <w:p>
            <w:pPr>
              <w:spacing w:after="30"/>
            </w:pP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E5E4E"/>
                <w:sz w:val="20"/>
                <w:szCs w:val="20"/>
              </w:rPr>
              <w:t xml:space="preserve">– </w:t>
            </w:r>
            <w:r>
              <w:rPr>
                <w:rFonts w:ascii="맑은 고딕" w:eastAsia="맑은 고딕" w:hAnsi="맑은 고딕" w:cs="맑은 고딕"/>
                <w:b w:val="0"/>
                <w:bCs w:val="0"/>
                <w:i w:val="0"/>
                <w:iCs w:val="0"/>
                <w:color w:val="222222"/>
                <w:sz w:val="19"/>
                <w:szCs w:val="19"/>
              </w:rPr>
              <w:t>공공재 수요를 수직으로 합하는 이유를 사적재와 대비해 설명할 수 있는가?</w:t>
            </w:r>
          </w:p>
        </w:tc>
      </w:tr>
    </w:tbl>
    <w:p>
      <w:r>
        <w:br w:type="page"/>
      </w:r>
    </w:p>
    <w:p>
      <w:pPr>
        <w:pBdr>
          <w:bottom w:val="single" w:sz="6" w:space="0" w:color="C9A227"/>
        </w:pBdr>
        <w:spacing w:after="120" w:before="3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6"/>
          <w:szCs w:val="26"/>
        </w:rPr>
        <w:t>3. 자주 하는 오해 — 이것만은 바로잡고 시험장에 갑시다</w:t>
      </w:r>
    </w:p>
    <w:p>
      <w:pPr>
        <w:spacing w:after="9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19"/>
          <w:szCs w:val="19"/>
        </w:rPr>
        <w:t>객관식의 오답 선지는 수험생이 흔히 하는 오해를 담아 만듭니다. 아래 여섯 가지를 스스로 점검해 보세요.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"판매자에게 부과한 세금은 판매자가 낸다" — 법률상 부과 대상과 실질 부담은 별개입니다.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"세수도 사회적 손실이다" — 세수는 정부로 이전되는 부분이고, 사라지는 것은 사중손실뿐입니다.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"피구세도 다른 세금처럼 효율을 해친다" — 피구세는 기존의 왜곡을 교정하여 효율을 높입니다.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"최적 오염 수준은 0이다" — 감축에도 비용이 들므로 최적 수준은 일반적으로 0이 아닙니다.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"공공재 수요도 사적재처럼 수평으로 합한다" — 공공재는 수직으로 합합니다.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"무임승차가 있어도 시장이 알아서 공급한다" — 무임승차는 과소공급의 원인이며 정부 공급의 근거입니다.</w:t>
      </w:r>
    </w:p>
    <w:p>
      <w:pPr>
        <w:pBdr>
          <w:bottom w:val="single" w:sz="6" w:space="0" w:color="C9A227"/>
        </w:pBdr>
        <w:spacing w:after="120" w:before="320"/>
      </w:pPr>
      <w:r>
        <w:rPr>
          <w:rFonts w:ascii="맑은 고딕" w:eastAsia="맑은 고딕" w:hAnsi="맑은 고딕" w:cs="맑은 고딕"/>
          <w:b/>
          <w:bCs/>
          <w:i w:val="0"/>
          <w:iCs w:val="0"/>
          <w:color w:val="1B3A2F"/>
          <w:sz w:val="26"/>
          <w:szCs w:val="26"/>
        </w:rPr>
        <w:t>4. 공부 요령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각 용어의 정의를 영문 명칭과 함께 자기 말로 한 문장씩 써 보세요. 문제의 절반 이상은 정의를 정확히 아는지 묻습니다.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세금 부과 그래프를 백지에 직접 그려 구입자 가격, 판매자 가격, 조세 쐐기, 세수 사각형, 사중손실 삼각형을 표시해 보세요.</w:t>
      </w:r>
    </w:p>
    <w:p>
      <w:pPr>
        <w:pStyle w:val="ListParagraph"/>
        <w:numPr>
          <w:ilvl w:val="0"/>
          <w:numId w:val="1"/>
        </w:numPr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개념마다 대표 사례를 하나씩 연결해 두세요(유류세–편익원칙, 누진소득세–능력원칙, 탄소세–피구세, 토지–공급 비탄력, 국방–공공재, 어족자원–공유자원).</w:t>
      </w:r>
    </w:p>
    <w:p>
      <w:pPr>
        <w:pStyle w:val="ListParagraph"/>
        <w:numPr>
          <w:ilvl w:val="0"/>
          <w:numId w:val="1"/>
        </w:numPr>
        <w:spacing w:after="50"/>
        <w:rPr>
          <w:lang w:eastAsia="ko-KR"/>
          <w:rFonts w:hint="eastAsia"/>
          <w:rtl w:val="off"/>
        </w:rPr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22222"/>
          <w:sz w:val="20"/>
          <w:szCs w:val="20"/>
        </w:rPr>
        <w:t>"옳지 않은 것 고르기"에 대비해, 각 진술을 보고 왜 맞는지 또는 왜 틀렸는지 이유를 말로 설명하는 연습을 하세요. 의도적인 함정은 없으므로 개념을 정확히 알면 바로 풀립니다.</w:t>
      </w:r>
    </w:p>
    <w:p>
      <w:pPr>
        <w:pStyle w:val="ListParagraph"/>
        <w:ind w:leftChars="0" w:left="340"/>
        <w:spacing w:after="50"/>
        <w:rPr>
          <w:lang w:eastAsia="ko-KR"/>
          <w:rFonts w:hint="eastAsia"/>
          <w:rtl w:val="off"/>
        </w:rPr>
      </w:pPr>
    </w:p>
    <w:p>
      <w:pPr>
        <w:pStyle w:val="ListParagraph"/>
        <w:ind w:leftChars="0" w:left="340"/>
        <w:spacing w:after="50"/>
      </w:pP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E5E4E"/>
          <w:sz w:val="19"/>
          <w:szCs w:val="19"/>
        </w:rPr>
        <w:t xml:space="preserve">처음 보는 객관식이지만, 이 안내서의 내용을 차분히 준비한 </w:t>
      </w:r>
      <w:r>
        <w:rPr>
          <w:lang w:eastAsia="ko-KR"/>
          <w:rFonts w:ascii="맑은 고딕" w:eastAsia="맑은 고딕" w:hAnsi="맑은 고딕" w:cs="맑은 고딕"/>
          <w:b w:val="0"/>
          <w:bCs w:val="0"/>
          <w:i w:val="0"/>
          <w:iCs w:val="0"/>
          <w:color w:val="2E5E4E"/>
          <w:sz w:val="19"/>
          <w:szCs w:val="19"/>
          <w:rtl w:val="off"/>
        </w:rPr>
        <w:t>분</w:t>
      </w:r>
      <w:r>
        <w:rPr>
          <w:rFonts w:ascii="맑은 고딕" w:eastAsia="맑은 고딕" w:hAnsi="맑은 고딕" w:cs="맑은 고딕"/>
          <w:b w:val="0"/>
          <w:bCs w:val="0"/>
          <w:i w:val="0"/>
          <w:iCs w:val="0"/>
          <w:color w:val="2E5E4E"/>
          <w:sz w:val="19"/>
          <w:szCs w:val="19"/>
        </w:rPr>
        <w:t>이라면 좋은 결과를 얻을 수 있도록 출제했습니다.</w:t>
      </w:r>
    </w:p>
    <w:sectPr>
      <w:pgSz w:w="11906" w:h="16838"/>
      <w:pgMar w:top="1000" w:right="1100" w:bottom="1000" w:left="1100" w:header="708" w:footer="708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ffff77c0"/>
    <w:multiLevelType w:val="hybridMultilevel"/>
    <w:lvl w:ilvl="0" w:tentative="on">
      <w:start w:val="1"/>
      <w:numFmt w:val="bullet"/>
      <w:lvlText w:val="·"/>
      <w:lvlJc w:val="left"/>
      <w:pPr>
        <w:ind w:left="340" w:hanging="200"/>
      </w:pPr>
      <w:rPr>
        <w:rFonts w:ascii="맑은 고딕" w:eastAsia="맑은 고딕" w:hAnsi="맑은 고딕" w:cs="맑은 고딕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displayBackgroundShape/>
  <w:bordersDontSurroundHeader/>
  <w:bordersDontSurroundFooter/>
  <w:hideGrammaticalErrors/>
  <w:proofState w:spelling="clean" w:grammar="clean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맑은 고딕"/>
        <w:sz w:val="20"/>
        <w:szCs w:val="20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</w:latentStyles>
  <w:style w:type="paragraph" w:styleId="Title">
    <w:name w:val="Title"/>
    <w:next w:val="Title"/>
    <w:qFormat/>
    <w:rPr>
      <w:sz w:val="56"/>
      <w:szCs w:val="56"/>
    </w:rPr>
  </w:style>
  <w:style w:type="paragraph" w:customStyle="1" w:styleId="Heading1">
    <w:name w:val="Heading 1"/>
    <w:next w:val="Title"/>
    <w:qFormat/>
    <w:rPr>
      <w:color w:val="2E74B5"/>
      <w:sz w:val="32"/>
      <w:szCs w:val="32"/>
    </w:rPr>
  </w:style>
  <w:style w:type="paragraph" w:customStyle="1" w:styleId="Heading2">
    <w:name w:val="Heading 2"/>
    <w:next w:val="Title"/>
    <w:qFormat/>
    <w:rPr>
      <w:color w:val="2E74B5"/>
      <w:sz w:val="26"/>
      <w:szCs w:val="26"/>
    </w:rPr>
  </w:style>
  <w:style w:type="paragraph" w:customStyle="1" w:styleId="Heading3">
    <w:name w:val="Heading 3"/>
    <w:next w:val="Title"/>
    <w:qFormat/>
    <w:rPr>
      <w:color w:val="1F4D78"/>
      <w:sz w:val="24"/>
      <w:szCs w:val="24"/>
    </w:rPr>
  </w:style>
  <w:style w:type="paragraph" w:customStyle="1" w:styleId="Heading4">
    <w:name w:val="Heading 4"/>
    <w:next w:val="Title"/>
    <w:qFormat/>
    <w:rPr>
      <w:i/>
      <w:iCs/>
      <w:color w:val="2E74B5"/>
    </w:rPr>
  </w:style>
  <w:style w:type="paragraph" w:customStyle="1" w:styleId="Heading5">
    <w:name w:val="Heading 5"/>
    <w:next w:val="Title"/>
    <w:qFormat/>
    <w:rPr>
      <w:color w:val="2E74B5"/>
    </w:rPr>
  </w:style>
  <w:style w:type="paragraph" w:customStyle="1" w:styleId="Heading6">
    <w:name w:val="Heading 6"/>
    <w:next w:val="Title"/>
    <w:qFormat/>
    <w:rPr>
      <w:color w:val="1F4D78"/>
    </w:rPr>
  </w:style>
  <w:style w:type="paragraph" w:styleId="Strong">
    <w:name w:val="Strong"/>
    <w:next w:val="Title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 w:color="auto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uiPriority w:val="99"/>
    <w:link w:val="FootnoteTextChar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uiPriority w:val="99"/>
    <w:link w:val="FootnoteText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uiPriority w:val="99"/>
    <w:link w:val="EndnoteTextChar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uiPriority w:val="99"/>
    <w:link w:val="EndnoteText"/>
    <w:semiHidden/>
    <w:unhideWhenUsed/>
    <w:rPr>
      <w:sz w:val="20"/>
      <w:szCs w:val="20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paragraph" w:default="1" w:styleId="a2">
    <w:name w:val="Normal"/>
    <w:qFormat/>
    <w:pPr>
      <w:autoSpaceDE w:val="off"/>
      <w:autoSpaceDN w:val="off"/>
      <w:widowControl w:val="off"/>
      <w:wordWrap w:val="off"/>
    </w:p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W Kim</cp:lastModifiedBy>
  <cp:revision>1</cp:revision>
  <dcterms:created xsi:type="dcterms:W3CDTF">2026-09-10T09:01:08Z</dcterms:created>
  <dcterms:modified xsi:type="dcterms:W3CDTF">2026-09-14T06:08:26Z</dcterms:modified>
  <cp:version>1300.0100.01</cp:version>
</cp:coreProperties>
</file>